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HINDAMISJUHEND</w:t>
      </w:r>
      <w:bookmarkStart w:id="0" w:name="_GoBack"/>
      <w:bookmarkEnd w:id="0"/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rPr>
          <w:rFonts w:ascii="Calibri" w:hAnsi="Calibri" w:cs="Calibri"/>
          <w:b/>
          <w:b/>
          <w:bCs/>
          <w:color w:val="000000"/>
          <w:sz w:val="22"/>
          <w:szCs w:val="22"/>
          <w:lang w:val="et-EE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lang w:val="et-EE"/>
        </w:rPr>
        <w:t xml:space="preserve"> </w:t>
      </w:r>
      <w:r>
        <w:rPr>
          <w:rFonts w:cs="Calibri" w:ascii="Calibri" w:hAnsi="Calibri"/>
          <w:b/>
          <w:bCs/>
          <w:color w:val="000000"/>
          <w:sz w:val="22"/>
          <w:szCs w:val="22"/>
          <w:lang w:val="et-EE"/>
        </w:rPr>
        <w:tab/>
        <w:tab/>
        <w:tab/>
        <w:tab/>
        <w:tab/>
        <w:t>Grimeerija , tase 5</w:t>
      </w:r>
    </w:p>
    <w:p>
      <w:pPr>
        <w:pStyle w:val="Normal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Sisukord: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Üldine informatsioon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Hindamise korraldus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Hindamisülesanded  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Hindamiskriteeriumid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Hindamine</w:t>
      </w:r>
    </w:p>
    <w:p>
      <w:pPr>
        <w:pStyle w:val="Normal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1. Üldine informatsioon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Default1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Grimeerija, tase 5,</w:t>
      </w:r>
      <w:r>
        <w:rPr>
          <w:sz w:val="22"/>
          <w:szCs w:val="22"/>
        </w:rPr>
        <w:t xml:space="preserve"> kutsealase kompetentsuse säilimise hindamine.</w:t>
      </w:r>
    </w:p>
    <w:p>
      <w:pPr>
        <w:pStyle w:val="Default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Hindamine viiakse läbi enne antud kutsetunnistuse kehtivusaja lõppu (vähemalt 1 kuu enne).</w:t>
      </w:r>
    </w:p>
    <w:p>
      <w:pPr>
        <w:pStyle w:val="Default1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Kutsealast kompetentsust hindab erinevatest osapooltest koosnev vähemalt kolmeliikmeline hindamiskomisjon. </w:t>
      </w:r>
      <w:r>
        <w:rPr>
          <w:color w:val="00000A"/>
          <w:sz w:val="22"/>
          <w:szCs w:val="22"/>
        </w:rPr>
        <w:t>Hindamismeetodiks on tehtud tööde analüüs</w:t>
      </w:r>
      <w:r>
        <w:rPr>
          <w:i/>
          <w:iCs/>
          <w:sz w:val="22"/>
          <w:szCs w:val="22"/>
        </w:rPr>
        <w:t xml:space="preserve"> (vorm leitav kodulehel meigikool.ee), </w:t>
      </w:r>
      <w:r>
        <w:rPr>
          <w:sz w:val="22"/>
          <w:szCs w:val="22"/>
        </w:rPr>
        <w:t>vajadusel vestlus ja/või videosalvestus.</w:t>
      </w:r>
    </w:p>
    <w:p>
      <w:pPr>
        <w:pStyle w:val="Default1"/>
        <w:numPr>
          <w:ilvl w:val="1"/>
          <w:numId w:val="1"/>
        </w:numPr>
        <w:jc w:val="both"/>
        <w:rPr>
          <w:i/>
          <w:i/>
          <w:iCs/>
          <w:sz w:val="22"/>
          <w:szCs w:val="22"/>
        </w:rPr>
      </w:pPr>
      <w:r>
        <w:rPr>
          <w:sz w:val="22"/>
          <w:szCs w:val="22"/>
        </w:rPr>
        <w:t>Hindamine lähtub kutsestandardist tulenevatest kompetentsidest</w:t>
      </w:r>
      <w:r>
        <w:rPr>
          <w:i/>
          <w:iCs/>
          <w:sz w:val="22"/>
          <w:szCs w:val="22"/>
        </w:rPr>
        <w:t xml:space="preserve">. </w:t>
      </w:r>
    </w:p>
    <w:p>
      <w:pPr>
        <w:pStyle w:val="Default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Hindamine viiakse läbi kolmes etapis. Etapid toimuvad erinevatel aegadel.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b/>
          <w:bCs/>
          <w:color w:val="00000A"/>
          <w:sz w:val="22"/>
          <w:szCs w:val="22"/>
        </w:rPr>
        <w:t>Esimeses etapis</w:t>
      </w:r>
      <w:r>
        <w:rPr>
          <w:rFonts w:ascii="Calibri" w:hAnsi="Calibri"/>
          <w:color w:val="00000A"/>
          <w:sz w:val="22"/>
          <w:szCs w:val="22"/>
        </w:rPr>
        <w:t xml:space="preserve"> analüüsib kutse andja taotleja poolt esitatud dokumentide tehnilist vastavust soovitud kutse taastõendamiseks kehtestatud nõuetele. Hinnatakse portfoolio sobivust. Nõuetekohaselt täidetud dokumendid registreeritakse ning suunatakse edasi teise etappi.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b/>
          <w:bCs/>
          <w:color w:val="00000A"/>
          <w:sz w:val="22"/>
          <w:szCs w:val="22"/>
        </w:rPr>
        <w:t>Teises etapis</w:t>
      </w:r>
      <w:r>
        <w:rPr>
          <w:rFonts w:ascii="Calibri" w:hAnsi="Calibri"/>
          <w:color w:val="00000A"/>
          <w:sz w:val="22"/>
          <w:szCs w:val="22"/>
        </w:rPr>
        <w:t xml:space="preserve"> hindajad analüüsivad tehtud töid ning toimub vestlus. 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b/>
          <w:bCs/>
          <w:color w:val="00000A"/>
          <w:sz w:val="22"/>
          <w:szCs w:val="22"/>
        </w:rPr>
        <w:t>Kolmandas etapis</w:t>
      </w:r>
      <w:r>
        <w:rPr>
          <w:rFonts w:ascii="Calibri" w:hAnsi="Calibri"/>
          <w:color w:val="00000A"/>
          <w:sz w:val="22"/>
          <w:szCs w:val="22"/>
        </w:rPr>
        <w:t xml:space="preserve"> teeb kutsekomisjon otsuse hindamiskomisjoni koondaruande põhjal. Kui kõik kompetentsid on tõendatud, langetatakse otsus kutse säilimise osas. </w:t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2. Hindamise korraldus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2.1. Hindamised toimuvad vähemalt kuu enne kutsetunnistuse kehtivusaja lõppu.</w:t>
      </w:r>
    </w:p>
    <w:p>
      <w:pPr>
        <w:pStyle w:val="Normal"/>
        <w:spacing w:before="120" w:after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2.2. Tähtajaks korrektselt esitatud taotlusdokumendid registreeritakse ja suunatakse hindamisse II etappi. Registreerimisest teavitatakse taotlejat kirja või meili teel 5 tööpäeva jooksul.</w:t>
      </w:r>
    </w:p>
    <w:p>
      <w:pPr>
        <w:pStyle w:val="Normal"/>
        <w:spacing w:before="120" w:after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Esitatavad dokumendid: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Kutse grimeerija, tase 5 taastõendamiseks esitatavad dokumendid on: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1)avaldus (vorm leitav KA kodulehel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www.meigikool.ee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2)koopia isikut tõendavast dokumendist (pass või ID kaart) juhul, kui andmed on muutunud;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3)grimeerija, tase 5 kutsetunnistuse koopia;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4)soovituslikult tunnistuste koopiad erialase täiendkoolituste või eriala toetavate täiendkoolituste läbimisest;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5)portfoolio (tehtud tööde analüüs) erialase arengu tõendamiseks; sisaldab töid, mis on tehtud kutse esmataotluse ja taastõendamise vahepealsel ajal (portfoolio koostamise juhend ja tööde analüüsi vorm leitavad KA kodulehel </w:t>
      </w:r>
      <w:hyperlink r:id="rId3">
        <w:r>
          <w:rPr>
            <w:rStyle w:val="InternetLink"/>
            <w:rFonts w:cs="Arial" w:ascii="Arial" w:hAnsi="Arial"/>
            <w:sz w:val="20"/>
            <w:szCs w:val="20"/>
          </w:rPr>
          <w:t>www.meigikool.ee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6)maksekorraldus või muu kinnitus kutse andmisega seotud kulude tasumise kohta.</w:t>
      </w:r>
    </w:p>
    <w:p>
      <w:pPr>
        <w:pStyle w:val="Normal"/>
        <w:spacing w:before="120" w:after="0"/>
        <w:jc w:val="both"/>
        <w:rPr>
          <w:rFonts w:ascii="Calibri" w:hAnsi="Calibri"/>
          <w:color w:val="00000A"/>
          <w:sz w:val="20"/>
          <w:szCs w:val="20"/>
        </w:rPr>
      </w:pPr>
      <w:r>
        <w:rPr>
          <w:rFonts w:ascii="Calibri" w:hAnsi="Calibri"/>
          <w:color w:val="00000A"/>
          <w:sz w:val="22"/>
          <w:szCs w:val="22"/>
        </w:rPr>
        <w:t>2.3. Kui dokumentides esineb puudusi või on vajalik täiendav informatsioon, määratakse 5 tööpäeva jooksul taotlejale kirjalikult (e-kiri, kiri) tähtaeg puuduste kõrvaldamiseks ning täiendavate dokumentide ja andmete esitamiseks. Puuduste kõrvaldamiseks ja täiendavate dokumentide esitamiseks antav tähtaeg on 5 tööpäeva. Puuduste kõrvaldamata jätmisel võidakse taotlus jätta rahuldamata, millest informeeritakse taotlejat kirjalikult.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2.4. Kutse andja teeb taotleja esitatud dokumentide põhjal otsuse kutse taastõendamisel osalemiseks või taotluse põhjendatud tagasilükkamiseks kuni 30 päeva jooksul pärast dokumentide vastuvõtmise kuupäeva.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2.5. Kui taastõendamise taotlemise eeltingimused ei olnud täidetud ja taotlejat hindamisele ei kutsuta, siis taotlemise tasu ei tagastata.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2.6. Hindajad esitavad kutse andjale vormikohase hindamisprotokolli 5 tööpäeva jooksul pärast hindamise toimumist.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2.7. Kutsekomisjon teeb kutse taastõendamise otsuse hindajate koondaruandealusel hiljemalt 10 tööpäeva jooksul peale hindamise toimumist. Otsusest teavitatakse taotlejat kirjalikult hiljemalt 5 tööpäeva jooksul pärast otsuse langetamist. Teade edastatakse taotleja poolt esitatud (e-posti) aadressil.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2.8. Taotlejale kutse taastõendamata jätvad otsused on põhjendatud ning sisaldavad viidet vaidlustamise võimaluste, koha, tähtaja ja korra kohta.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2.9. Taotlejal on õigus 30 päeva jooksul pärast kutsekomisjoni otsuse teatavaks tegemist esitada hindamisprotsessi ja -tulemuste kohta kaebus kutsekomisjonile.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2.10. Kaebus lahendatakse lähtuvalt haldusmenetluse seadusest.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 Hindamisülesanded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Taotlus koos tõendusmaterjalidega </w:t>
      </w:r>
    </w:p>
    <w:p>
      <w:pPr>
        <w:pStyle w:val="Default1"/>
        <w:jc w:val="both"/>
        <w:rPr/>
      </w:pPr>
      <w:r>
        <w:rPr>
          <w:sz w:val="22"/>
          <w:szCs w:val="22"/>
        </w:rPr>
        <w:t>3.1.1 Tehtud tööde analüüs, p</w:t>
      </w:r>
      <w:r>
        <w:rPr>
          <w:iCs/>
          <w:sz w:val="22"/>
          <w:szCs w:val="22"/>
          <w:u w:val="single"/>
        </w:rPr>
        <w:t>ortfoolio</w:t>
      </w:r>
      <w:r>
        <w:rPr>
          <w:iCs/>
          <w:sz w:val="22"/>
          <w:szCs w:val="22"/>
        </w:rPr>
        <w:t xml:space="preserve"> erialase arengu tõendamiseks sisaldab töid, mis on tehtud kutse esmataotlemise ja taastõendamise vahepealsel ajal.</w:t>
      </w:r>
    </w:p>
    <w:p>
      <w:pPr>
        <w:pStyle w:val="BodyText3"/>
        <w:tabs>
          <w:tab w:val="clear" w:pos="720"/>
          <w:tab w:val="left" w:pos="-1985" w:leader="none"/>
          <w:tab w:val="left" w:pos="284" w:leader="none"/>
          <w:tab w:val="left" w:pos="10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>
        <w:rPr>
          <w:rFonts w:ascii="Calibri" w:hAnsi="Calibri" w:asciiTheme="minorHAnsi" w:hAnsiTheme="minorHAnsi"/>
          <w:sz w:val="22"/>
          <w:szCs w:val="22"/>
        </w:rPr>
        <w:t xml:space="preserve">Hindamiskomisjoni liikmed on enne vestlust taotlejaga läbi töötanud ja analüüsinud portfoolio </w:t>
      </w: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 ning teostatud tööde sisu</w:t>
      </w:r>
      <w:r>
        <w:rPr>
          <w:rFonts w:ascii="Calibri" w:hAnsi="Calibri" w:asciiTheme="minorHAnsi" w:hAnsiTheme="minorHAnsi"/>
          <w:sz w:val="22"/>
          <w:szCs w:val="22"/>
        </w:rPr>
        <w:t>. Eeltöö käigus on hindajad valmistanud ette täpsustavad küsimused taotlejale.</w:t>
      </w:r>
    </w:p>
    <w:p>
      <w:pPr>
        <w:pStyle w:val="BodyText3"/>
        <w:tabs>
          <w:tab w:val="clear" w:pos="720"/>
          <w:tab w:val="left" w:pos="-1985" w:leader="none"/>
          <w:tab w:val="left" w:pos="284" w:leader="none"/>
          <w:tab w:val="left" w:pos="1080" w:leader="none"/>
        </w:tabs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3.3 Vestlus (vajadusel):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3.3.1  Hindamise keeleks on üldjuhul eesti keel. 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3.3.2 </w:t>
      </w:r>
      <w:r>
        <w:rPr>
          <w:rFonts w:ascii="Calibri" w:hAnsi="Calibri" w:asciiTheme="minorHAnsi" w:hAnsiTheme="minorHAnsi"/>
          <w:bCs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Vestlused toimuvad igale taotlejale eraldi.</w:t>
      </w:r>
    </w:p>
    <w:p>
      <w:pPr>
        <w:pStyle w:val="BodyText3"/>
        <w:tabs>
          <w:tab w:val="clear" w:pos="720"/>
          <w:tab w:val="left" w:pos="-1985" w:leader="none"/>
          <w:tab w:val="left" w:pos="284" w:leader="none"/>
          <w:tab w:val="left" w:pos="1080" w:leader="none"/>
        </w:tabs>
        <w:spacing w:before="0" w:after="0"/>
        <w:rPr>
          <w:rFonts w:ascii="Calibri" w:hAnsi="Calibri"/>
          <w:iCs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3.3.3 Vestluse sisuks on saada vastuseid tekkinud küsimustele lähtuvalt hinnatavatest kompetentsidest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  <w:highlight w:val="yellow"/>
        </w:rPr>
      </w:pPr>
      <w:r>
        <w:rPr>
          <w:rFonts w:ascii="Calibri" w:hAnsi="Calibri" w:asciiTheme="minorHAnsi" w:hAnsiTheme="minorHAnsi"/>
          <w:sz w:val="22"/>
          <w:szCs w:val="22"/>
        </w:rPr>
        <w:t>3.3.4 Vestluse ajal on ruumis lubatud viibida ainult vahetult hindamisega seotud isikutel, kui kutsekomisjon ei ole otsustanud teisti.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3.3.5 Vestluse ajal on taotlejal ruumis keelatud: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- mobiiltelefonide kasutamine;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- hindamise salvestamine;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- komisjoni liikmeid häiriv käitumine.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3.3.6 Hindamiskomisjoni liikmetel on õigus eemaldada vestluselt osaleja, kes häirib hindamise läbiviimist.</w:t>
        <w:br/>
        <w:t>3.3.7 Vestluse käigus ja selle järgselt täidavad kõik hindamiskomisjoni liikmed hindamislehed.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3.3.8 Vestlus kestvus kuni 30 min.</w:t>
      </w:r>
    </w:p>
    <w:p>
      <w:pPr>
        <w:pStyle w:val="Normal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 Hindamiskriteeriumid</w:t>
      </w:r>
    </w:p>
    <w:p>
      <w:pPr>
        <w:pStyle w:val="Normal"/>
        <w:spacing w:before="40" w:after="4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before="40" w:after="4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Hindamisviiside lühendite tähendused: </w:t>
      </w:r>
    </w:p>
    <w:p>
      <w:pPr>
        <w:pStyle w:val="Normal"/>
        <w:spacing w:before="40" w:after="4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ab/>
        <w:tab/>
        <w:tab/>
        <w:tab/>
        <w:t>V – vestlus</w:t>
      </w:r>
    </w:p>
    <w:p>
      <w:pPr>
        <w:pStyle w:val="Normal"/>
        <w:spacing w:before="40" w:after="40"/>
        <w:ind w:left="2160" w:firstLine="72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D- dokumendipõhine</w:t>
      </w:r>
    </w:p>
    <w:tbl>
      <w:tblPr>
        <w:tblW w:w="9299" w:type="dxa"/>
        <w:jc w:val="left"/>
        <w:tblInd w:w="97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20"/>
        <w:gridCol w:w="4318"/>
        <w:gridCol w:w="1361"/>
      </w:tblGrid>
      <w:tr>
        <w:trPr>
          <w:trHeight w:val="399" w:hRule="atLeast"/>
        </w:trPr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Tutvustab viimase viie aasta erialast arengut</w:t>
            </w: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Hindamiskriteeriumid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798" w:leader="none"/>
              </w:tabs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Hindamisviis</w:t>
            </w:r>
          </w:p>
        </w:tc>
      </w:tr>
      <w:tr>
        <w:trPr>
          <w:trHeight w:val="1350" w:hRule="atLeast"/>
        </w:trPr>
        <w:tc>
          <w:tcPr>
            <w:tcW w:w="3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276" w:leader="none"/>
              </w:tabs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B.2.2 Ettevalmistumine karakteri loomiseks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" w:leader="none"/>
              </w:tabs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B.2.2 Jumestustoodete nahale kandmine ja eemaldamine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" w:leader="none"/>
              </w:tabs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 2.3 Kliendisuhtlus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" w:leader="none"/>
              </w:tabs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B.2.4 Kutset läbiv kompetents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" w:leader="none"/>
              </w:tabs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Default1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80"/>
              <w:ind w:left="3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pacing w:before="0" w:after="280"/>
              <w:ind w:left="3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  <w:p>
            <w:pPr>
              <w:pStyle w:val="Normal"/>
              <w:widowControl w:val="false"/>
              <w:spacing w:before="0" w:after="280"/>
              <w:ind w:left="317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5. Hindamine</w:t>
      </w:r>
    </w:p>
    <w:p>
      <w:pPr>
        <w:pStyle w:val="Normal"/>
        <w:spacing w:before="120" w:after="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5.1 Kõik hindajad hindavad sõltumatult grimeerija, tase 5 taotleja teadmiste ja oskuste vastavust kutsestandardile, kasutades hindamislehte.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5.2 Kui hindamiskomisjoni liikmete hinnangud jagunevad võrdselt, siis on tulemuste määramisel otsustavaks hindamiskomisjoni esimehe hinnang. 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5.3 Hindamine loetakse sooritatuks, kui hindamiskomisjoni koondhinnang on positiivne.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5.4 Koostatakse hindamise protokoll. Protokolli koostamise aluseks on hindamislehed. Protokollile kirjutavad alla kõik hindamiskomisjoni liikmed. Koondhindamisprotokoll esitatakse kutsekomisjonile. 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5.5 Kutsekomisjon otsustab koondhindamisprotokolli alusel kutse andmise/taastõendamise taotlejale. 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5.6 Kutsekomisjoni otsus on avalik dokument.</w:t>
      </w:r>
    </w:p>
    <w:p>
      <w:pPr>
        <w:pStyle w:val="Normal"/>
        <w:spacing w:before="120" w:after="0"/>
        <w:jc w:val="both"/>
        <w:rPr>
          <w:rFonts w:ascii="Calibri" w:hAnsi="Calibri" w:cs="Arial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5.7 </w:t>
      </w:r>
      <w:r>
        <w:rPr>
          <w:rFonts w:cs="Arial" w:ascii="Calibri" w:hAnsi="Calibri"/>
          <w:sz w:val="22"/>
          <w:szCs w:val="22"/>
        </w:rPr>
        <w:t xml:space="preserve">Hindamiskomisjoni tegevusele võib kaebuse esitada kutsekomisjonile 30 päeva jooksul otsuse teadasaamisest. Kaebuste menetlemisel järgitakse Haldusmenetluse seaduses ettenähtud tähtaegu. </w:t>
      </w:r>
    </w:p>
    <w:p>
      <w:pPr>
        <w:pStyle w:val="Normal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5.8 Kutsekomisjoni otsuse saab vaidlustada kutsenõukogus.</w:t>
      </w:r>
    </w:p>
    <w:p>
      <w:pPr>
        <w:pStyle w:val="Normal"/>
        <w:spacing w:before="120" w:after="4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</w:r>
    </w:p>
    <w:p>
      <w:pPr>
        <w:pStyle w:val="Normal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A"/>
          <w:sz w:val="22"/>
          <w:szCs w:val="22"/>
          <w:shd w:fill="FF0000" w:val="clear"/>
        </w:rPr>
      </w:pPr>
      <w:r>
        <w:rPr>
          <w:rFonts w:cs="Calibri" w:ascii="Calibri" w:hAnsi="Calibri"/>
          <w:color w:val="00000A"/>
          <w:sz w:val="22"/>
          <w:szCs w:val="22"/>
          <w:shd w:fill="FF0000" w:val="clear"/>
        </w:rPr>
      </w:r>
    </w:p>
    <w:p>
      <w:pPr>
        <w:pStyle w:val="Normal"/>
        <w:widowControl w:val="false"/>
        <w:jc w:val="both"/>
        <w:rPr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</w:rPr>
        <w:t xml:space="preserve"> </w:t>
      </w:r>
    </w:p>
    <w:sectPr>
      <w:footerReference w:type="default" r:id="rId4"/>
      <w:type w:val="nextPage"/>
      <w:pgSz w:w="12240" w:h="15840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f62"/>
    <w:pPr>
      <w:widowControl/>
      <w:suppressAutoHyphens w:val="true"/>
      <w:overflowPunct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"/>
      <w:color w:val="000000"/>
      <w:kern w:val="0"/>
      <w:sz w:val="24"/>
      <w:szCs w:val="24"/>
      <w:lang w:val="et-EE" w:eastAsia="et-EE" w:bidi="ar-SA"/>
    </w:rPr>
  </w:style>
  <w:style w:type="paragraph" w:styleId="Heading1">
    <w:name w:val="Heading 1"/>
    <w:basedOn w:val="Normal"/>
    <w:uiPriority w:val="9"/>
    <w:qFormat/>
    <w:rsid w:val="00721f62"/>
    <w:pPr>
      <w:jc w:val="center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721f62"/>
    <w:pPr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uiPriority w:val="9"/>
    <w:unhideWhenUsed/>
    <w:qFormat/>
    <w:rsid w:val="00721f62"/>
    <w:pPr>
      <w:jc w:val="both"/>
      <w:outlineLvl w:val="2"/>
    </w:pPr>
    <w:rPr>
      <w:rFonts w:ascii="Calibri" w:hAnsi="Calibri" w:cs="Calibri"/>
      <w:b/>
      <w:bCs/>
      <w:sz w:val="22"/>
      <w:szCs w:val="22"/>
    </w:rPr>
  </w:style>
  <w:style w:type="paragraph" w:styleId="Heading4">
    <w:name w:val="Heading 4"/>
    <w:basedOn w:val="Normal"/>
    <w:uiPriority w:val="9"/>
    <w:unhideWhenUsed/>
    <w:qFormat/>
    <w:rsid w:val="00721f62"/>
    <w:pPr>
      <w:jc w:val="both"/>
      <w:outlineLvl w:val="3"/>
    </w:pPr>
    <w:rPr>
      <w:rFonts w:ascii="Calibri" w:hAnsi="Calibri" w:cs="Calibri"/>
      <w:i/>
      <w:iCs/>
      <w:sz w:val="22"/>
      <w:szCs w:val="22"/>
    </w:rPr>
  </w:style>
  <w:style w:type="paragraph" w:styleId="Heading5">
    <w:name w:val="Heading 5"/>
    <w:basedOn w:val="Normal"/>
    <w:uiPriority w:val="9"/>
    <w:unhideWhenUsed/>
    <w:qFormat/>
    <w:rsid w:val="00721f62"/>
    <w:pPr>
      <w:spacing w:before="120" w:after="40"/>
      <w:ind w:left="360" w:hanging="0"/>
      <w:jc w:val="both"/>
      <w:outlineLvl w:val="4"/>
    </w:pPr>
    <w:rPr>
      <w:rFonts w:ascii="Calibri" w:hAnsi="Calibri" w:cs="Calibri"/>
      <w:b/>
      <w:bCs/>
      <w:color w:val="00000A"/>
      <w:sz w:val="22"/>
      <w:szCs w:val="22"/>
    </w:rPr>
  </w:style>
  <w:style w:type="paragraph" w:styleId="Heading6">
    <w:name w:val="Heading 6"/>
    <w:basedOn w:val="Normal"/>
    <w:uiPriority w:val="9"/>
    <w:semiHidden/>
    <w:unhideWhenUsed/>
    <w:qFormat/>
    <w:rsid w:val="00721f62"/>
    <w:pPr>
      <w:spacing w:before="40" w:after="40"/>
      <w:jc w:val="both"/>
      <w:outlineLvl w:val="5"/>
    </w:pPr>
    <w:rPr>
      <w:rFonts w:ascii="Calibri" w:hAnsi="Calibri" w:cs="Calibri"/>
      <w:b/>
      <w:bCs/>
      <w:color w:val="00000A"/>
      <w:sz w:val="22"/>
      <w:szCs w:val="22"/>
    </w:rPr>
  </w:style>
  <w:style w:type="paragraph" w:styleId="Heading7">
    <w:name w:val="Heading 7"/>
    <w:basedOn w:val="Normal"/>
    <w:qFormat/>
    <w:rsid w:val="00721f62"/>
    <w:pPr>
      <w:keepNext w:val="true"/>
      <w:outlineLvl w:val="6"/>
    </w:pPr>
    <w:rPr>
      <w:rFonts w:ascii="Calibri" w:hAnsi="Calibri" w:cs="Calibri"/>
      <w:i/>
      <w:iCs/>
      <w:sz w:val="22"/>
      <w:szCs w:val="22"/>
    </w:rPr>
  </w:style>
  <w:style w:type="paragraph" w:styleId="Heading8">
    <w:name w:val="Heading 8"/>
    <w:basedOn w:val="Normal"/>
    <w:qFormat/>
    <w:rsid w:val="00721f62"/>
    <w:pPr>
      <w:keepNext w:val="true"/>
      <w:spacing w:before="40" w:after="40"/>
      <w:jc w:val="center"/>
      <w:outlineLvl w:val="7"/>
    </w:pPr>
    <w:rPr>
      <w:rFonts w:ascii="Calibri" w:hAnsi="Calibri" w:cs="Calibri"/>
      <w:i/>
      <w:iCs/>
      <w:color w:val="00000A"/>
      <w:sz w:val="22"/>
      <w:szCs w:val="22"/>
      <w:lang w:eastAsia="en-US"/>
    </w:rPr>
  </w:style>
  <w:style w:type="paragraph" w:styleId="Heading9">
    <w:name w:val="Heading 9"/>
    <w:basedOn w:val="Normal"/>
    <w:qFormat/>
    <w:rsid w:val="00721f62"/>
    <w:pPr>
      <w:keepNext w:val="true"/>
      <w:spacing w:before="40" w:after="40"/>
      <w:jc w:val="center"/>
      <w:outlineLvl w:val="8"/>
    </w:pPr>
    <w:rPr>
      <w:rFonts w:ascii="Calibri" w:hAnsi="Calibri" w:cs="Calibri"/>
      <w:b/>
      <w:bCs/>
      <w:color w:val="00000A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qFormat/>
    <w:rsid w:val="00721f62"/>
    <w:rPr>
      <w:rFonts w:ascii="Cambria" w:hAnsi="Cambria" w:cs="Cambria"/>
      <w:b/>
      <w:bCs/>
      <w:color w:val="000000"/>
      <w:sz w:val="32"/>
      <w:szCs w:val="32"/>
    </w:rPr>
  </w:style>
  <w:style w:type="character" w:styleId="Pealkiri2Mrk" w:customStyle="1">
    <w:name w:val="Pealkiri 2 Märk"/>
    <w:basedOn w:val="DefaultParagraphFont"/>
    <w:qFormat/>
    <w:rsid w:val="00721f62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styleId="Pealkiri3Mrk" w:customStyle="1">
    <w:name w:val="Pealkiri 3 Märk"/>
    <w:basedOn w:val="DefaultParagraphFont"/>
    <w:qFormat/>
    <w:rsid w:val="00721f62"/>
    <w:rPr>
      <w:rFonts w:ascii="Cambria" w:hAnsi="Cambria" w:cs="Cambria"/>
      <w:b/>
      <w:bCs/>
      <w:color w:val="000000"/>
      <w:sz w:val="26"/>
      <w:szCs w:val="26"/>
    </w:rPr>
  </w:style>
  <w:style w:type="character" w:styleId="Pealkiri4Mrk" w:customStyle="1">
    <w:name w:val="Pealkiri 4 Märk"/>
    <w:basedOn w:val="DefaultParagraphFont"/>
    <w:qFormat/>
    <w:rsid w:val="00721f6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Pealkiri5Mrk" w:customStyle="1">
    <w:name w:val="Pealkiri 5 Märk"/>
    <w:basedOn w:val="DefaultParagraphFont"/>
    <w:qFormat/>
    <w:rsid w:val="00721f6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styleId="Pealkiri6Mrk" w:customStyle="1">
    <w:name w:val="Pealkiri 6 Märk"/>
    <w:basedOn w:val="DefaultParagraphFont"/>
    <w:qFormat/>
    <w:rsid w:val="00721f62"/>
    <w:rPr>
      <w:rFonts w:ascii="Times New Roman" w:hAnsi="Times New Roman" w:cs="Times New Roman"/>
      <w:b/>
      <w:bCs/>
      <w:color w:val="000000"/>
    </w:rPr>
  </w:style>
  <w:style w:type="character" w:styleId="Pealkiri7Mrk" w:customStyle="1">
    <w:name w:val="Pealkiri 7 Märk"/>
    <w:basedOn w:val="DefaultParagraphFont"/>
    <w:qFormat/>
    <w:rsid w:val="00721f62"/>
    <w:rPr>
      <w:rFonts w:ascii="Times New Roman" w:hAnsi="Times New Roman" w:cs="Times New Roman"/>
      <w:color w:val="000000"/>
      <w:sz w:val="24"/>
      <w:szCs w:val="24"/>
    </w:rPr>
  </w:style>
  <w:style w:type="character" w:styleId="Pealkiri8Mrk" w:customStyle="1">
    <w:name w:val="Pealkiri 8 Märk"/>
    <w:basedOn w:val="DefaultParagraphFont"/>
    <w:qFormat/>
    <w:rsid w:val="00721f62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Pealkiri9Mrk" w:customStyle="1">
    <w:name w:val="Pealkiri 9 Märk"/>
    <w:basedOn w:val="DefaultParagraphFont"/>
    <w:qFormat/>
    <w:rsid w:val="00721f62"/>
    <w:rPr>
      <w:rFonts w:ascii="Cambria" w:hAnsi="Cambria" w:cs="Cambria"/>
      <w:color w:val="000000"/>
    </w:rPr>
  </w:style>
  <w:style w:type="character" w:styleId="AlapealkiriMrk" w:customStyle="1">
    <w:name w:val="Alapealkiri Märk"/>
    <w:basedOn w:val="DefaultParagraphFont"/>
    <w:qFormat/>
    <w:rsid w:val="00721f62"/>
    <w:rPr>
      <w:rFonts w:ascii="Cambria" w:hAnsi="Cambria" w:cs="Cambria"/>
      <w:color w:val="000000"/>
      <w:sz w:val="24"/>
      <w:szCs w:val="24"/>
    </w:rPr>
  </w:style>
  <w:style w:type="character" w:styleId="PealkiriMrk" w:customStyle="1">
    <w:name w:val="Pealkiri Märk"/>
    <w:basedOn w:val="DefaultParagraphFont"/>
    <w:qFormat/>
    <w:rsid w:val="00721f62"/>
    <w:rPr>
      <w:rFonts w:ascii="Cambria" w:hAnsi="Cambria" w:cs="Cambria"/>
      <w:b/>
      <w:bCs/>
      <w:color w:val="000000"/>
      <w:sz w:val="32"/>
      <w:szCs w:val="32"/>
    </w:rPr>
  </w:style>
  <w:style w:type="character" w:styleId="Annotationreference">
    <w:name w:val="annotation reference"/>
    <w:basedOn w:val="DefaultParagraphFont"/>
    <w:qFormat/>
    <w:rsid w:val="00721f62"/>
    <w:rPr>
      <w:rFonts w:ascii="Times New Roman" w:hAnsi="Times New Roman" w:cs="Times New Roman"/>
      <w:sz w:val="16"/>
      <w:szCs w:val="16"/>
    </w:rPr>
  </w:style>
  <w:style w:type="character" w:styleId="JutumullitekstMrk" w:customStyle="1">
    <w:name w:val="Jutumullitekst Märk"/>
    <w:basedOn w:val="DefaultParagraphFont"/>
    <w:qFormat/>
    <w:rsid w:val="00721f62"/>
    <w:rPr>
      <w:rFonts w:ascii="Tahoma" w:hAnsi="Tahoma" w:cs="Tahoma"/>
      <w:color w:val="000000"/>
      <w:sz w:val="16"/>
      <w:szCs w:val="16"/>
    </w:rPr>
  </w:style>
  <w:style w:type="character" w:styleId="KommentaaritekstMrk" w:customStyle="1">
    <w:name w:val="Kommentaari tekst Märk"/>
    <w:basedOn w:val="DefaultParagraphFont"/>
    <w:qFormat/>
    <w:rsid w:val="00721f62"/>
    <w:rPr>
      <w:rFonts w:ascii="Times New Roman" w:hAnsi="Times New Roman" w:cs="Times New Roman"/>
      <w:color w:val="000000"/>
    </w:rPr>
  </w:style>
  <w:style w:type="character" w:styleId="KommentaariteemaMrk" w:customStyle="1">
    <w:name w:val="Kommentaari teema Märk"/>
    <w:basedOn w:val="KommentaaritekstMrk"/>
    <w:qFormat/>
    <w:rsid w:val="00721f62"/>
    <w:rPr>
      <w:rFonts w:ascii="Times New Roman" w:hAnsi="Times New Roman" w:cs="Times New Roman"/>
      <w:b/>
      <w:bCs/>
      <w:color w:val="000000"/>
    </w:rPr>
  </w:style>
  <w:style w:type="character" w:styleId="KehatekstMrk" w:customStyle="1">
    <w:name w:val="Kehatekst Märk"/>
    <w:basedOn w:val="DefaultParagraphFont"/>
    <w:qFormat/>
    <w:rsid w:val="00721f62"/>
    <w:rPr>
      <w:rFonts w:ascii="Times New Roman" w:hAnsi="Times New Roman" w:cs="Times New Roman"/>
      <w:color w:val="000000"/>
      <w:sz w:val="24"/>
      <w:szCs w:val="24"/>
    </w:rPr>
  </w:style>
  <w:style w:type="character" w:styleId="PisMrk" w:customStyle="1">
    <w:name w:val="Päis Märk"/>
    <w:basedOn w:val="DefaultParagraphFont"/>
    <w:qFormat/>
    <w:rsid w:val="00721f62"/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qFormat/>
    <w:rsid w:val="00721f62"/>
    <w:rPr>
      <w:rFonts w:ascii="Times New Roman" w:hAnsi="Times New Roman" w:cs="Times New Roman"/>
    </w:rPr>
  </w:style>
  <w:style w:type="character" w:styleId="JalusMrk" w:customStyle="1">
    <w:name w:val="Jalus Märk"/>
    <w:basedOn w:val="DefaultParagraphFont"/>
    <w:qFormat/>
    <w:rsid w:val="00721f62"/>
    <w:rPr>
      <w:rFonts w:ascii="Times New Roman" w:hAnsi="Times New Roman" w:cs="Times New Roman"/>
      <w:color w:val="000000"/>
      <w:sz w:val="24"/>
      <w:szCs w:val="24"/>
    </w:rPr>
  </w:style>
  <w:style w:type="character" w:styleId="Kehatekst2Mrk" w:customStyle="1">
    <w:name w:val="Kehatekst 2 Märk"/>
    <w:basedOn w:val="DefaultParagraphFont"/>
    <w:qFormat/>
    <w:rsid w:val="00721f62"/>
    <w:rPr>
      <w:rFonts w:ascii="Times New Roman" w:hAnsi="Times New Roman" w:cs="Times New Roman"/>
      <w:color w:val="000000"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186293"/>
    <w:rPr>
      <w:color w:val="0563C1" w:themeColor="hyperlink"/>
      <w:u w:val="single"/>
    </w:rPr>
  </w:style>
  <w:style w:type="character" w:styleId="Kehatekst3Mrk" w:customStyle="1">
    <w:name w:val="Kehatekst 3 Märk"/>
    <w:basedOn w:val="DefaultParagraphFont"/>
    <w:qFormat/>
    <w:rsid w:val="00721f62"/>
    <w:rPr>
      <w:rFonts w:ascii="Times New Roman" w:hAnsi="Times New Roman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6293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rsid w:val="00721f6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21f62"/>
    <w:pPr>
      <w:spacing w:before="0" w:after="120"/>
    </w:pPr>
    <w:rPr>
      <w:rFonts w:ascii="Calibri" w:hAnsi="Calibri" w:cs="Calibri"/>
      <w:i/>
      <w:iCs/>
      <w:sz w:val="22"/>
      <w:szCs w:val="22"/>
      <w:shd w:fill="FF0000" w:val="clear"/>
    </w:rPr>
  </w:style>
  <w:style w:type="paragraph" w:styleId="List">
    <w:name w:val="List"/>
    <w:basedOn w:val="TextBody"/>
    <w:rsid w:val="00721f62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21f62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21f62"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Normal"/>
    <w:uiPriority w:val="11"/>
    <w:qFormat/>
    <w:rsid w:val="00721f62"/>
    <w:pPr>
      <w:spacing w:before="0" w:after="60"/>
      <w:jc w:val="center"/>
    </w:pPr>
    <w:rPr>
      <w:rFonts w:ascii="Arial" w:hAnsi="Arial" w:cs="Arial"/>
    </w:rPr>
  </w:style>
  <w:style w:type="paragraph" w:styleId="Title">
    <w:name w:val="Title"/>
    <w:basedOn w:val="Normal"/>
    <w:uiPriority w:val="10"/>
    <w:qFormat/>
    <w:rsid w:val="00721f6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qFormat/>
    <w:rsid w:val="00721f6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rsid w:val="00721f62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721f62"/>
    <w:pPr/>
    <w:rPr>
      <w:b/>
      <w:bCs/>
    </w:rPr>
  </w:style>
  <w:style w:type="paragraph" w:styleId="NormalWeb">
    <w:name w:val="Normal (Web)"/>
    <w:basedOn w:val="Normal"/>
    <w:qFormat/>
    <w:rsid w:val="00721f62"/>
    <w:pPr>
      <w:spacing w:before="280" w:after="280"/>
    </w:pPr>
    <w:rPr>
      <w:rFonts w:ascii="Arial Unicode MS" w:hAnsi="Arial Unicode MS" w:eastAsia="Arial Unicode MS" w:cs="Arial Unicode MS"/>
      <w:color w:val="00000A"/>
      <w:lang w:val="en-GB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21f62"/>
    <w:pPr>
      <w:tabs>
        <w:tab w:val="clear" w:pos="720"/>
        <w:tab w:val="center" w:pos="4536" w:leader="none"/>
        <w:tab w:val="right" w:pos="9072" w:leader="none"/>
      </w:tabs>
    </w:pPr>
    <w:rPr>
      <w:color w:val="00000A"/>
      <w:sz w:val="20"/>
      <w:szCs w:val="20"/>
      <w:lang w:val="de-DE" w:eastAsia="en-US"/>
    </w:rPr>
  </w:style>
  <w:style w:type="paragraph" w:styleId="Footer">
    <w:name w:val="Footer"/>
    <w:basedOn w:val="Normal"/>
    <w:rsid w:val="00721f6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rsid w:val="00721f62"/>
    <w:pPr/>
    <w:rPr>
      <w:rFonts w:ascii="Calibri" w:hAnsi="Calibri" w:cs="Calibri"/>
      <w:b/>
      <w:bCs/>
      <w:caps/>
    </w:rPr>
  </w:style>
  <w:style w:type="paragraph" w:styleId="ShortReturnAddress" w:customStyle="1">
    <w:name w:val="Short Return Address"/>
    <w:basedOn w:val="Normal"/>
    <w:qFormat/>
    <w:rsid w:val="00721f62"/>
    <w:pPr/>
    <w:rPr>
      <w:color w:val="00000A"/>
      <w:lang w:eastAsia="en-US"/>
    </w:rPr>
  </w:style>
  <w:style w:type="paragraph" w:styleId="ListParagraph">
    <w:name w:val="List Paragraph"/>
    <w:basedOn w:val="Normal"/>
    <w:qFormat/>
    <w:rsid w:val="00721f62"/>
    <w:pPr>
      <w:ind w:left="720" w:hanging="0"/>
    </w:pPr>
    <w:rPr>
      <w:color w:val="00000A"/>
      <w:lang w:eastAsia="en-US"/>
    </w:rPr>
  </w:style>
  <w:style w:type="paragraph" w:styleId="Default" w:customStyle="1">
    <w:name w:val="default"/>
    <w:basedOn w:val="Normal"/>
    <w:qFormat/>
    <w:rsid w:val="00721f62"/>
    <w:pPr>
      <w:spacing w:before="280" w:after="280"/>
    </w:pPr>
    <w:rPr>
      <w:color w:val="00000A"/>
    </w:rPr>
  </w:style>
  <w:style w:type="paragraph" w:styleId="ListBullet">
    <w:name w:val="List Bullet"/>
    <w:basedOn w:val="Normal"/>
    <w:qFormat/>
    <w:rsid w:val="00721f62"/>
    <w:pPr>
      <w:widowControl w:val="false"/>
      <w:tabs>
        <w:tab w:val="left" w:pos="720" w:leader="none"/>
      </w:tabs>
    </w:pPr>
    <w:rPr>
      <w:rFonts w:ascii="Arial Narrow" w:hAnsi="Arial Narrow"/>
      <w:color w:val="00000A"/>
      <w:sz w:val="20"/>
      <w:szCs w:val="20"/>
      <w:lang w:val="en-US" w:eastAsia="en-GB"/>
    </w:rPr>
  </w:style>
  <w:style w:type="paragraph" w:styleId="Default1" w:customStyle="1">
    <w:name w:val="Default"/>
    <w:qFormat/>
    <w:rsid w:val="00721f6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0"/>
      <w:kern w:val="0"/>
      <w:sz w:val="24"/>
      <w:szCs w:val="24"/>
      <w:lang w:val="et-EE" w:eastAsia="et-EE" w:bidi="ar-SA"/>
    </w:rPr>
  </w:style>
  <w:style w:type="paragraph" w:styleId="BodyText3">
    <w:name w:val="Body Text 3"/>
    <w:basedOn w:val="Normal"/>
    <w:qFormat/>
    <w:rsid w:val="00721f62"/>
    <w:pPr>
      <w:spacing w:before="0" w:after="120"/>
    </w:pPr>
    <w:rPr>
      <w:sz w:val="16"/>
      <w:szCs w:val="16"/>
    </w:rPr>
  </w:style>
  <w:style w:type="paragraph" w:styleId="Quotations" w:customStyle="1">
    <w:name w:val="Quotations"/>
    <w:basedOn w:val="Normal"/>
    <w:qFormat/>
    <w:rsid w:val="00721f6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eigikool.ee/" TargetMode="External"/><Relationship Id="rId3" Type="http://schemas.openxmlformats.org/officeDocument/2006/relationships/hyperlink" Target="http://www.meigikool.ee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934</Words>
  <Characters>5422</Characters>
  <CharactersWithSpaces>6344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2021-03-05T08:21:00Z</dcterms:created>
  <dc:creator>Margit Salmar</dc:creator>
  <dc:description/>
  <dc:language>en-US</dc:language>
  <cp:lastModifiedBy>Liia</cp:lastModifiedBy>
  <cp:lastPrinted>2019-05-15T08:32:00Z</cp:lastPrinted>
  <dcterms:modified xsi:type="dcterms:W3CDTF">2021-03-05T09:30:00Z</dcterms:modified>
  <cp:revision>4</cp:revision>
  <dc:subject/>
  <dc:title>KINNITATUD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